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f98b6acff4214067"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48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GAL Microregiunea Hârtibaciu</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pentru îmbunătățirea accesului la servicii medicale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lang w:val="it"/>
              </w:rPr>
              <w:t>EG 1</w:t>
            </w:r>
          </w:p>
        </w:tc>
        <w:tc>
          <w:tcPr>
            <w:vAlign w:val="center"/>
          </w:tcPr>
          <w:p>
            <w:pPr>
              <w:spacing w:line="360" w:lineRule="auto"/>
              <w:ind w:left="0" w:right="0" w:firstLine="493"/>
            </w:pPr>
            <w:r>
              <w:rPr>
                <w:rFonts w:ascii="Cambria Bold" w:hAnsi="Cambria Bold"/>
                <w:b/>
                <w:color w:val="1B4167"/>
                <w:sz w:val="24"/>
              </w:rPr>
              <w:t>Solicitantul trebuie să se încadreze în categoria beneficiarilor eligibili: UAT-uri, ADI-uri sau parteneriate între UAT-uri (consortii); dupa caz</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încadrarea solicitantului în una dintre categoriile eligibile prevăzute în Fișa Intervenției 10 și existența acordului de parteneriat (in cazul parteneriatului informal).</w:t>
            </w:r>
          </w:p>
          <w:p>
            <w:pPr>
              <w:spacing w:line="360" w:lineRule="auto"/>
              <w:ind w:left="0" w:right="0" w:firstLine="493"/>
            </w:pPr>
            <w:r>
              <w:rPr>
                <w:rFonts w:ascii="Cambria" w:hAnsi="Cambria"/>
                <w:b w:val="false"/>
                <w:sz w:val="24"/>
              </w:rPr>
              <w:t>Documente: documente de identificare și încadrare a solicitantului (CIF, acte de înființare/funcționare, dovadă reprezentant legal); pentru parteneriat informal: acord de parteneriat si documente de identificare si incadrare a partenerilor (CIF, acte de înființare/funcționare, dovadă reprezentant legal), după caz.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nu trebuie să fie în insolvență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dacă solicitantul nu se află în insolvență, conform legislației aplicabile și documentelor depuse.</w:t>
            </w:r>
          </w:p>
          <w:p>
            <w:pPr>
              <w:spacing w:line="360" w:lineRule="auto"/>
              <w:ind w:left="0" w:right="0" w:firstLine="493"/>
            </w:pPr>
            <w:r>
              <w:rPr>
                <w:rFonts w:ascii="Cambria" w:hAnsi="Cambria"/>
                <w:b w:val="false"/>
                <w:sz w:val="24"/>
              </w:rPr>
              <w:t>Documente: documente/declarații relevante care susțin situația solicitantului (în funcție de forma solicitantului).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se angajează să asigure întreținerea/mentenanța investiției pe o perioadă de minim 3 ani (5 ani pentru proiectele careprevad Constructii+Montaj), de la finalizarea ultimei cereri de plata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existența asumării privind operarea și întreținerea/mentenanța investiției pentru perioada minimă aplicabilă, respectiv 3 ani pentru proiectele fără construcții-montaj și 5 ani pentru proiectele cu construcții-montaj, de la finalizarea ultimei cereri de plată; coerența dintre investiția descrisă în Cererea de finanțare/SF/DALI/MJ, după caz, și investiția pentru care se asumă operarea și mentenanța.</w:t>
            </w:r>
          </w:p>
          <w:p>
            <w:pPr>
              <w:spacing w:line="360" w:lineRule="auto"/>
              <w:ind w:left="0" w:right="0" w:firstLine="493"/>
            </w:pPr>
            <w:r>
              <w:rPr>
                <w:rFonts w:ascii="Cambria" w:hAnsi="Cambria"/>
                <w:b w:val="false"/>
                <w:sz w:val="24"/>
              </w:rPr>
              <w:t>Documente: Hotărârea Consiliului Local / Hotărârea Adunării Generale / hotărârile sau deciziile partenerilor, după caz, privind implementarea proiectului, care trebuie să includă asumarea resurselor necesare pentru operarea și întreținerea/mentenanța investiției pe perioada minimă aplicabilă.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lang w:val="it"/>
              </w:rPr>
              <w:t>Investiția să se încadreze în tipul de sprijin prevăzut prin intervenție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w:t>
            </w:r>
            <w:r>
              <w:rPr>
                <w:rFonts w:ascii="Cambria" w:hAnsi="Cambria"/>
                <w:b w:val="false"/>
                <w:sz w:val="24"/>
              </w:rPr>
              <w:t>  dacă proiectul propus este un proiect de investiții încadrat în tipul de intervenție prevăzut de Fișa Intervenției 10, respectiv investiție in domeniul sănătății/ în interesul comunității / neproductivă; dacă valoarea sprijinului solicitat se încadrează în plafonul aplicabil categoriei de solicitant, respectiv maximum 60.000 euro/proiect pentru proiectele depuse de UAT-uri și maximum 160.000 euro/proiect pentru proiectele depuse de ADI-uri sau parteneriate formate din minimum două UAT-uri; dacă investiția nu este încadrată ca investiție competitivă/economică și nu are caracter generator de venit incompatibil cu tipul de sprijin prevăzut de intervenție. </w:t>
            </w:r>
          </w:p>
          <w:p>
            <w:pPr>
              <w:spacing w:line="360" w:lineRule="auto"/>
              <w:ind w:left="0" w:right="0" w:firstLine="493"/>
            </w:pPr>
            <w:r>
              <w:rPr>
                <w:rFonts w:ascii="Cambria" w:hAnsi="Cambria"/>
                <w:b w:val="false"/>
                <w:sz w:val="24"/>
              </w:rPr>
              <w:t>Documente:</w:t>
            </w:r>
            <w:r>
              <w:rPr>
                <w:rFonts w:ascii="Cambria" w:hAnsi="Cambria"/>
                <w:b w:val="false"/>
                <w:sz w:val="24"/>
              </w:rPr>
              <w:t>  Cererea de finanțare; secțiunea E2.1 „Informații și documente necesare verificării criteriilor de eligibilitate locale”; SF/DALI/MJ/descrierea investiției, după caz; bugetul indicativ/devizul general/devizele pe obiect, după caz; Planul financiar; Hotărârea Consiliului Local / hotărârea ADI / documentul de asumare al parteneriatului, după caz.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Toate investițiile propuse vor fi in domeniul sanatatii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 Se verifică: dacă obiectivul general al proiectului, activitățile propuse, lucrările, dotările, echipamentele și cheltuielile bugetate au legătură directă cu domeniul sănătății populației; dacă investiția se încadrează în acțiunile eligibile prevăzute de Fișa Intervenției 10, respectiv achiziția de echipamente și dotări în domeniul sănătății, construcția/modernizarea /dotarea spațiilor pentru desfășurarea activităților din domeniul sănătății populației și costurile aferente documentațiilor tehnice/proiectare /consultanță în limitele prevăzute; dacă nu sunt incluse investiții, dotări sau lucrări cu destinație principală în afara domeniului sănătății. Lucrările sau cheltuielile auxiliare sunt acceptabile numai dacă sunt necesare funcționării investiției medicale și sunt justificate în documentația tehnico-economică. </w:t>
            </w:r>
          </w:p>
          <w:p>
            <w:pPr>
              <w:spacing w:line="360" w:lineRule="auto"/>
              <w:ind w:left="0" w:right="0" w:firstLine="493"/>
            </w:pPr>
            <w:r>
              <w:rPr>
                <w:rFonts w:ascii="Cambria" w:hAnsi="Cambria"/>
                <w:b w:val="false"/>
                <w:sz w:val="24"/>
              </w:rPr>
              <w:t>Documente:</w:t>
            </w:r>
            <w:r>
              <w:rPr>
                <w:rFonts w:ascii="Cambria" w:hAnsi="Cambria"/>
                <w:b w:val="false"/>
                <w:sz w:val="24"/>
              </w:rPr>
              <w:t>  Cererea de finanțare, inclusiv descrierea investiției și secțiunea E2.1; SF/DALI/MJ/descrierea dotărilor, după caz; bugetul indicativ/devizul general/devizele pe obiect; lista echipamentelor/ dotărilor propuse și ofertele/fișele tehnice aferente; documente privind destinația spațiului/imobilului, după caz; Hotărârea Consiliului Local / hotărârea ADI / documentul de asumare al parteneriatului, după caz; documente/avize/autorizații specifice domeniului sănătății, dacă sunt aplicabile, inclusiv documente DSP pentru obiective existente/ modernizate,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Ponderea populației rurale care beneficiază de un acces îmbunătățit la servicii și infrastructură prinintermediul sprijinului PAC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Beneficiarul trebuie sa mentioneaze in cererea de finantare,memoriul justificativ/studiu de fezabilitate, numărul locuitorilor care beneficiază de un acces îmbunătățit la servicii și infrastructură prin intermediul investitiei propuse. Expertul verifica existenta mentionariiacestui indicator.Documente verificate: cerere finantare, memoriu justificativ/studiu de fezabilitate.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Numărul persoanelor deservite de infrastructura creată/modernizată/dotată</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Investiția deservește minimum 15.000 persoane, prin arie de acoperire justificată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investiția deservește minimum 15.000 persoane, prin arie de acoperire justificată. Numărul persoanelor deservite se stabilește pe baza populației UAT-ului/UAT-urilor sau a ariei efectiv deservite de infrastructura creată/modernizată/dotată, conform documentelor depuse.</w:t>
            </w:r>
          </w:p>
          <w:p>
            <w:pPr>
              <w:spacing w:line="360" w:lineRule="auto"/>
              <w:ind w:left="0" w:right="0" w:firstLine="493"/>
            </w:pPr>
            <w:r>
              <w:rPr>
                <w:rFonts w:ascii="Cambria" w:hAnsi="Cambria"/>
                <w:b w:val="false"/>
                <w:sz w:val="24"/>
              </w:rPr>
              <w:t>Pentru proiectele depuse de ADI-uri sau parteneriate, se poate lua în calcul populația cumulată a UAT-urilor efectiv deservite numai dacă solicitantul demonstrează legătura directă dintre investiție și accesul populației respective la infrastructura/serviciul medical propus.</w:t>
            </w:r>
          </w:p>
          <w:p>
            <w:pPr>
              <w:spacing w:line="360" w:lineRule="auto"/>
              <w:ind w:left="0" w:right="0" w:firstLine="493"/>
            </w:pPr>
            <w:r>
              <w:rPr>
                <w:rFonts w:ascii="Cambria" w:hAnsi="Cambria"/>
                <w:b w:val="false"/>
                <w:sz w:val="24"/>
              </w:rPr>
              <w:t>În cazul în care investiția deservește numai o parte din populația UAT-ului/UAT-urilor, se va puncta doar populația aferentă ariei reale de acoperire, justificată de solicitant.</w:t>
            </w:r>
          </w:p>
          <w:p>
            <w:pPr>
              <w:spacing w:line="360" w:lineRule="auto"/>
              <w:ind w:left="0" w:right="0" w:firstLine="493"/>
            </w:pPr>
            <w:r>
              <w:rPr>
                <w:rFonts w:ascii="Cambria" w:hAnsi="Cambria"/>
                <w:b w:val="false"/>
                <w:sz w:val="24"/>
              </w:rPr>
              <w:t>Se acordă 25 puncte dacă numărul persoanelor deservite este de minimum 15.000 și aria de acoperire este justificată coerent. Nu se acordă punctajul aferent acestui subcriteriu dacă numărul persoanelor deservite nu este justificat, dacă aria de acoperire este supraestimată/nedovedită sau dacă nu rezultă legătura directă dintre investiție și persoanele indicate ca deservite.</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inclusiv secțiunea E2.2 „Informații și documente necesare verificării criteriilor de selecție - Verificare la nivelul GAL”;</w:t>
            </w:r>
          </w:p>
          <w:p>
            <w:pPr>
              <w:pStyle w:val="ListParagraph"/>
              <w:numPr>
                <w:ilvl w:val="0"/>
                <w:numId w:val="2"/>
              </w:numPr>
            </w:pPr>
            <w:r>
              <w:rPr>
                <w:rFonts w:ascii="Cambria" w:hAnsi="Cambria"/>
                <w:b w:val="false"/>
                <w:sz w:val="24"/>
              </w:rPr>
              <w:t>Anexa T1 – Calcul persoane deservite, completată cu UAT-ul/UAT-urile/aria deservită, populația aferentă și modul de calcul;</w:t>
            </w:r>
          </w:p>
          <w:p>
            <w:pPr>
              <w:pStyle w:val="ListParagraph"/>
              <w:numPr>
                <w:ilvl w:val="0"/>
                <w:numId w:val="2"/>
              </w:numPr>
            </w:pPr>
            <w:r>
              <w:rPr>
                <w:rFonts w:ascii="Cambria" w:hAnsi="Cambria"/>
                <w:b w:val="false"/>
                <w:sz w:val="24"/>
              </w:rPr>
              <w:t>SF/DALI/MJ/descrierea investiției, după caz;</w:t>
            </w:r>
          </w:p>
          <w:p>
            <w:pPr>
              <w:pStyle w:val="ListParagraph"/>
              <w:numPr>
                <w:ilvl w:val="0"/>
                <w:numId w:val="2"/>
              </w:numPr>
            </w:pPr>
            <w:r>
              <w:rPr>
                <w:rFonts w:ascii="Cambria" w:hAnsi="Cambria"/>
                <w:b w:val="false"/>
                <w:sz w:val="24"/>
              </w:rPr>
              <w:t>documente privind aria de deservire: acord de parteneriat, hotărâri ale UAT-urilor/ADI, documente de asumare, regulamente/protocoale de acces sau alte documente relevante, după caz;</w:t>
            </w:r>
          </w:p>
          <w:p>
            <w:pPr>
              <w:pStyle w:val="ListParagraph"/>
              <w:numPr>
                <w:ilvl w:val="0"/>
                <w:numId w:val="2"/>
              </w:numPr>
            </w:pPr>
            <w:r>
              <w:rPr>
                <w:rFonts w:ascii="Cambria" w:hAnsi="Cambria"/>
                <w:b w:val="false"/>
                <w:sz w:val="24"/>
              </w:rPr>
              <w:t>date statistice/documente oficiale sau documente administrative locale din care rezultă populația luată în calcul.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Investiția deservește între 10.000 și 14.999 persoane, prin arie de acoperire justificată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investiția deservește între 10.000 și 14.999 persoane, prin arie de acoperire justificată. Numărul persoanelor deservite se stabilește pe baza populației UAT-ului/UAT-urilor sau a ariei efectiv deservite de infrastructura creată/modernizată/dotată, conform documentelor depuse.</w:t>
            </w:r>
          </w:p>
          <w:p>
            <w:pPr>
              <w:spacing w:line="360" w:lineRule="auto"/>
              <w:ind w:left="0" w:right="0" w:firstLine="493"/>
            </w:pPr>
            <w:r>
              <w:rPr>
                <w:rFonts w:ascii="Cambria" w:hAnsi="Cambria"/>
                <w:b w:val="false"/>
                <w:sz w:val="24"/>
              </w:rPr>
              <w:t>Pentru proiectele depuse de ADI-uri sau parteneriate, se poate lua în calcul populația cumulată a UAT-urilor efectiv deservite numai dacă solicitantul demonstrează legătura directă dintre investiție și accesul populației respective la infrastructura/serviciul medical propus.</w:t>
            </w:r>
          </w:p>
          <w:p>
            <w:pPr>
              <w:spacing w:line="360" w:lineRule="auto"/>
              <w:ind w:left="0" w:right="0" w:firstLine="493"/>
            </w:pPr>
            <w:r>
              <w:rPr>
                <w:rFonts w:ascii="Cambria" w:hAnsi="Cambria"/>
                <w:b w:val="false"/>
                <w:sz w:val="24"/>
              </w:rPr>
              <w:t>În cazul în care investiția deservește numai o parte din populația UAT-ului/UAT-urilor, se va puncta doar populația aferentă ariei reale de acoperire, justificată de solicitant.</w:t>
            </w:r>
          </w:p>
          <w:p>
            <w:pPr>
              <w:spacing w:line="360" w:lineRule="auto"/>
              <w:ind w:left="0" w:right="0" w:firstLine="493"/>
            </w:pPr>
            <w:r>
              <w:rPr>
                <w:rFonts w:ascii="Cambria" w:hAnsi="Cambria"/>
                <w:b w:val="false"/>
                <w:sz w:val="24"/>
              </w:rPr>
              <w:t>Se acordă 15 puncte dacă numărul persoanelor deservite este cuprins între 10.000 și 14.999 și aria de acoperire este justificată coerent.</w:t>
            </w:r>
          </w:p>
          <w:p>
            <w:pPr>
              <w:spacing w:line="360" w:lineRule="auto"/>
              <w:ind w:left="0" w:right="0" w:firstLine="493"/>
            </w:pPr>
            <w:r>
              <w:rPr>
                <w:rFonts w:ascii="Cambria" w:hAnsi="Cambria"/>
                <w:b w:val="false"/>
                <w:sz w:val="24"/>
              </w:rPr>
              <w:t>Nu se acordă punctajul aferent acestui subcriteriu dacă numărul persoanelor deservite nu este justificat, dacă aria de acoperire este supraestimată/nedovedită sau dacă nu rezultă legătura directă dintre investiție și persoanele indicate ca deservite.</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inclusiv secțiunea E2.2;</w:t>
            </w:r>
          </w:p>
          <w:p>
            <w:pPr>
              <w:pStyle w:val="ListParagraph"/>
              <w:numPr>
                <w:ilvl w:val="0"/>
                <w:numId w:val="2"/>
              </w:numPr>
            </w:pPr>
            <w:r>
              <w:rPr>
                <w:rFonts w:ascii="Cambria" w:hAnsi="Cambria"/>
                <w:b w:val="false"/>
                <w:sz w:val="24"/>
              </w:rPr>
              <w:t>Anexa T1 – Calcul persoane deservite, completată cu UAT-ul/UAT-urile/aria deservită, populația aferentă și modul de calcul;</w:t>
            </w:r>
          </w:p>
          <w:p>
            <w:pPr>
              <w:pStyle w:val="ListParagraph"/>
              <w:numPr>
                <w:ilvl w:val="0"/>
                <w:numId w:val="2"/>
              </w:numPr>
            </w:pPr>
            <w:r>
              <w:rPr>
                <w:rFonts w:ascii="Cambria" w:hAnsi="Cambria"/>
                <w:b w:val="false"/>
                <w:sz w:val="24"/>
              </w:rPr>
              <w:t>SF/DALI/MJ/descrierea investiției, după caz;</w:t>
            </w:r>
          </w:p>
          <w:p>
            <w:pPr>
              <w:pStyle w:val="ListParagraph"/>
              <w:numPr>
                <w:ilvl w:val="0"/>
                <w:numId w:val="2"/>
              </w:numPr>
            </w:pPr>
            <w:r>
              <w:rPr>
                <w:rFonts w:ascii="Cambria" w:hAnsi="Cambria"/>
                <w:b w:val="false"/>
                <w:sz w:val="24"/>
              </w:rPr>
              <w:t>documente privind aria de deservire: acord de parteneriat, hotărâri ale UAT-urilor/ADI, documente de asumare, regulamente/protocoale de acces sau alte documente relevante, după caz;</w:t>
            </w:r>
          </w:p>
          <w:p>
            <w:pPr>
              <w:pStyle w:val="ListParagraph"/>
              <w:numPr>
                <w:ilvl w:val="0"/>
                <w:numId w:val="2"/>
              </w:numPr>
            </w:pPr>
            <w:r>
              <w:rPr>
                <w:rFonts w:ascii="Cambria" w:hAnsi="Cambria"/>
                <w:b w:val="false"/>
                <w:sz w:val="24"/>
              </w:rPr>
              <w:t>date statistice/documente oficiale sau documente administrative locale din care rezultă populația luată în calcul.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w:hAnsi="Cambria"/>
                <w:b w:val="false"/>
                <w:color w:val="58400C"/>
                <w:sz w:val="24"/>
              </w:rPr>
              <w:t>Investiția deservește sub 10.000 persoane, dar are impact local demonstrat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investiția deservește sub 10.000 persoane, dar are impact local demonstrat asupra accesului la infrastructură/servicii medicale în UAT-ul/aria de implementare.</w:t>
            </w:r>
          </w:p>
          <w:p>
            <w:pPr>
              <w:spacing w:line="360" w:lineRule="auto"/>
              <w:ind w:left="0" w:right="0" w:firstLine="493"/>
            </w:pPr>
            <w:r>
              <w:rPr>
                <w:rFonts w:ascii="Cambria" w:hAnsi="Cambria"/>
                <w:b w:val="false"/>
                <w:sz w:val="24"/>
              </w:rPr>
              <w:t>Impactul local trebuie să rezulte din necesitatea investiției, din lipsa/insuficiența infrastructurii medicale existente sau din îmbunătățirea concretă a accesului populației la serviciile medicale propuse.</w:t>
            </w:r>
          </w:p>
          <w:p>
            <w:pPr>
              <w:spacing w:line="360" w:lineRule="auto"/>
              <w:ind w:left="0" w:right="0" w:firstLine="493"/>
            </w:pPr>
            <w:r>
              <w:rPr>
                <w:rFonts w:ascii="Cambria" w:hAnsi="Cambria"/>
                <w:b w:val="false"/>
                <w:sz w:val="24"/>
              </w:rPr>
              <w:t>Se acordă 5 puncte dacă numărul persoanelor deservite este sub 10.000 și solicitantul demonstrează coerent impactul local al investiției.</w:t>
            </w:r>
          </w:p>
          <w:p>
            <w:pPr>
              <w:spacing w:line="360" w:lineRule="auto"/>
              <w:ind w:left="0" w:right="0" w:firstLine="493"/>
            </w:pPr>
            <w:r>
              <w:rPr>
                <w:rFonts w:ascii="Cambria" w:hAnsi="Cambria"/>
                <w:b w:val="false"/>
                <w:sz w:val="24"/>
              </w:rPr>
              <w:t>Nu se acordă punctaj dacă nu este indicat numărul persoanelor deservite, dacă impactul local nu este justificat sau dacă investiția nu are legătură directă cu accesul populației la servicii medicale.</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inclusiv secțiunea E2.2;</w:t>
            </w:r>
          </w:p>
          <w:p>
            <w:pPr>
              <w:pStyle w:val="ListParagraph"/>
              <w:numPr>
                <w:ilvl w:val="0"/>
                <w:numId w:val="2"/>
              </w:numPr>
            </w:pPr>
            <w:r>
              <w:rPr>
                <w:rFonts w:ascii="Cambria" w:hAnsi="Cambria"/>
                <w:b w:val="false"/>
                <w:sz w:val="24"/>
              </w:rPr>
              <w:t>Anexa T1 – Calcul persoane deservite, completată cu UAT-ul/aria deservită, populația aferentă și modul de calcul;</w:t>
            </w:r>
          </w:p>
          <w:p>
            <w:pPr>
              <w:pStyle w:val="ListParagraph"/>
              <w:numPr>
                <w:ilvl w:val="0"/>
                <w:numId w:val="2"/>
              </w:numPr>
            </w:pPr>
            <w:r>
              <w:rPr>
                <w:rFonts w:ascii="Cambria" w:hAnsi="Cambria"/>
                <w:b w:val="false"/>
                <w:sz w:val="24"/>
              </w:rPr>
              <w:t>SF/DALI/MJ/descrierea investiției, după caz;</w:t>
            </w:r>
          </w:p>
          <w:p>
            <w:pPr>
              <w:pStyle w:val="ListParagraph"/>
              <w:numPr>
                <w:ilvl w:val="0"/>
                <w:numId w:val="2"/>
              </w:numPr>
            </w:pPr>
            <w:r>
              <w:rPr>
                <w:rFonts w:ascii="Cambria" w:hAnsi="Cambria"/>
                <w:b w:val="false"/>
                <w:sz w:val="24"/>
              </w:rPr>
              <w:t>documente care susțin impactul local: notă de fundamentare, HCL/hotărâre ADI/document de asumare, strategie locală, date privind lipsa/insuficiența infrastructurii medicale, fotografii, adrese/înscrisuri relevante sau alte documente justificative, după caz;</w:t>
            </w:r>
          </w:p>
          <w:p>
            <w:pPr>
              <w:pStyle w:val="ListParagraph"/>
              <w:numPr>
                <w:ilvl w:val="0"/>
                <w:numId w:val="2"/>
              </w:numPr>
            </w:pPr>
            <w:r>
              <w:rPr>
                <w:rFonts w:ascii="Cambria" w:hAnsi="Cambria"/>
                <w:b w:val="false"/>
                <w:sz w:val="24"/>
              </w:rPr>
              <w:t>date statistice/documente oficiale sau documente administrative locale din care rezultă populația luată în calcul.</w:t>
            </w:r>
          </w:p>
          <w:p>
            <w:pPr>
              <w:spacing w:line="360" w:lineRule="auto"/>
              <w:ind w:left="0" w:right="0" w:firstLine="493"/>
            </w:pPr>
            <w:r>
              <w:rPr>
                <w:rFonts w:ascii="Cambria" w:hAnsi="Cambria"/>
                <w:b w:val="false"/>
                <w:sz w:val="24"/>
              </w:rPr>
              <w:t>Pentru lipsa Anexei T1 sau pentru necorelarea acesteia cu Cererea de finanțare și documentația tehnico-economică, punctajul pentru CS 1 este 0 puncte.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ce propun dezvoltarea și/sau diversificarea serviciilor oferite în prezent</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  </w:t>
            </w:r>
          </w:p>
        </w:tc>
        <w:tc>
          <w:tcPr>
            <w:shd w:val="clear" w:color="auto" w:fill="F8ECD2"/>
            <w:vAlign w:val="center"/>
          </w:tcPr>
          <w:p>
            <w:r>
              <w:rPr>
                <w:rFonts w:ascii="Cambria" w:hAnsi="Cambria"/>
                <w:b w:val="false"/>
                <w:color w:val="58400C"/>
                <w:sz w:val="24"/>
              </w:rPr>
              <w:t>Proiectul introduce un serviciu medical nou în aria deservită</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prin investiția propusă, va deveni posibilă furnizarea unui serviciu medical care nu este disponibil în prezent în aria deservită de proiect.</w:t>
            </w:r>
          </w:p>
          <w:p>
            <w:pPr>
              <w:spacing w:line="360" w:lineRule="auto"/>
              <w:ind w:left="0" w:right="0" w:firstLine="493"/>
            </w:pPr>
            <w:r>
              <w:rPr>
                <w:rFonts w:ascii="Cambria" w:hAnsi="Cambria"/>
                <w:b w:val="false"/>
                <w:sz w:val="24"/>
              </w:rPr>
              <w:t>Prin serviciu medical nou se poate înțelege, după caz: o specialitate medicală nouă, o activitate medicală nouă, o investigație/diagnosticare care nu era disponibilă anterior, o procedură/tratament nou, un serviciu de prevenție, monitorizare sau intervenție medicală care nu era disponibil anterior pentru populația din aria deservită.</w:t>
            </w:r>
          </w:p>
          <w:p>
            <w:pPr>
              <w:spacing w:line="360" w:lineRule="auto"/>
              <w:ind w:left="0" w:right="0" w:firstLine="493"/>
            </w:pPr>
            <w:r>
              <w:rPr>
                <w:rFonts w:ascii="Cambria" w:hAnsi="Cambria"/>
                <w:b w:val="false"/>
                <w:sz w:val="24"/>
              </w:rPr>
              <w:t>Se acordă 20 puncte dacă solicitantul demonstrează că serviciul medical nou rezultă direct din investiția propusă, respectiv din lucrările, dotările, echipamentele sau amenajările prevăzute prin proiect.</w:t>
            </w:r>
          </w:p>
          <w:p>
            <w:pPr>
              <w:spacing w:line="360" w:lineRule="auto"/>
              <w:ind w:left="0" w:right="0" w:firstLine="493"/>
            </w:pPr>
            <w:r>
              <w:rPr>
                <w:rFonts w:ascii="Cambria" w:hAnsi="Cambria"/>
                <w:b w:val="false"/>
                <w:sz w:val="24"/>
              </w:rPr>
              <w:t>Nu se acordă punctajul aferent acestui subcriteriu dacă proiectul vizează doar renovarea unui spațiu, dotări generale, înlocuirea unor echipamente uzate sau îmbunătățirea condițiilor de funcționare, fără identificarea unui serviciu medical nou.</w:t>
            </w:r>
          </w:p>
          <w:p>
            <w:pPr>
              <w:spacing w:line="360" w:lineRule="auto"/>
              <w:ind w:left="0" w:right="0" w:firstLine="493"/>
            </w:pPr>
            <w:r>
              <w:rPr>
                <w:rFonts w:ascii="Cambria" w:hAnsi="Cambria"/>
                <w:b w:val="false"/>
                <w:sz w:val="24"/>
              </w:rPr>
              <w:t>Documente/verificări relevante</w:t>
            </w:r>
          </w:p>
          <w:p>
            <w:pPr>
              <w:spacing w:line="360" w:lineRule="auto"/>
              <w:ind w:left="0" w:right="0" w:firstLine="493"/>
            </w:pPr>
            <w:r>
              <w:rPr>
                <w:rFonts w:ascii="Cambria" w:hAnsi="Cambria"/>
                <w:b w:val="false"/>
                <w:sz w:val="24"/>
              </w:rPr>
              <w:t>Cererea de finanțare, secțiunea E2.2; Anexa T2 – Servicii medicale rezultate prin proiect; SF/DALI/MJ/descrierea investiției, după caz; lista dotărilor/echipamentelor/lucrărilor propuse; documente/avize/autorizații specifice domeniului sănătății, dacă sunt aplicabile.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Proiectul extinde gama serviciilor medicale existente</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în aria deservită există deja servicii medicale, iar proiectul permite extinderea acestora prin servicii suplimentare față de cele oferite în prezent.</w:t>
            </w:r>
          </w:p>
          <w:p>
            <w:pPr>
              <w:spacing w:line="360" w:lineRule="auto"/>
              <w:ind w:left="0" w:right="0" w:firstLine="493"/>
            </w:pPr>
            <w:r>
              <w:rPr>
                <w:rFonts w:ascii="Cambria" w:hAnsi="Cambria"/>
                <w:b w:val="false"/>
                <w:sz w:val="24"/>
              </w:rPr>
              <w:t>Diferența față de CS 2.1 este că aici nu se introduce un serviciu medical complet nou în aria deservită, ci se extinde oferta medicală existentă prin activități, investigații, dotări sau funcțiuni suplimentare.</w:t>
            </w:r>
          </w:p>
          <w:p>
            <w:pPr>
              <w:spacing w:line="360" w:lineRule="auto"/>
              <w:ind w:left="0" w:right="0" w:firstLine="493"/>
            </w:pPr>
            <w:r>
              <w:rPr>
                <w:rFonts w:ascii="Cambria" w:hAnsi="Cambria"/>
                <w:b w:val="false"/>
                <w:sz w:val="24"/>
              </w:rPr>
              <w:t>Se acordă 15 puncte dacă solicitantul demonstrează clar diferența dintre serviciile medicale existente și serviciile suplimentare care vor fi posibile după implementarea proiectului.</w:t>
            </w:r>
          </w:p>
          <w:p>
            <w:pPr>
              <w:spacing w:line="360" w:lineRule="auto"/>
              <w:ind w:left="0" w:right="0" w:firstLine="493"/>
            </w:pPr>
            <w:r>
              <w:rPr>
                <w:rFonts w:ascii="Cambria" w:hAnsi="Cambria"/>
                <w:b w:val="false"/>
                <w:sz w:val="24"/>
              </w:rPr>
              <w:t>Nu se acordă punctajul aferent acestui subcriteriu dacă investiția nu conduce la servicii suplimentare sau dacă extinderea serviciilor este declarată generic, fără corelare cu lucrările, dotările, echipamentele sau amenajările propuse.</w:t>
            </w:r>
          </w:p>
          <w:p>
            <w:pPr>
              <w:spacing w:line="360" w:lineRule="auto"/>
              <w:ind w:left="0" w:right="0" w:firstLine="493"/>
            </w:pPr>
            <w:r>
              <w:rPr>
                <w:rFonts w:ascii="Cambria" w:hAnsi="Cambria"/>
                <w:b w:val="false"/>
                <w:sz w:val="24"/>
              </w:rPr>
              <w:t>Documente/verificări relevante</w:t>
            </w:r>
          </w:p>
          <w:p>
            <w:pPr>
              <w:spacing w:line="360" w:lineRule="auto"/>
              <w:ind w:left="0" w:right="0" w:firstLine="493"/>
            </w:pPr>
            <w:r>
              <w:rPr>
                <w:rFonts w:ascii="Cambria" w:hAnsi="Cambria"/>
                <w:b w:val="false"/>
                <w:sz w:val="24"/>
              </w:rPr>
              <w:t>Cererea de finanțare, secțiunea E2.2; Anexa T2 – Servicii medicale rezultate prin proiect; SF/DALI/MJ/descrierea investiției, după caz; lista dotărilor/echipamentelor/lucrărilor propuse; documente privind serviciile existente și serviciile suplimentare propuse, după caz.</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Proiectul îmbunătățește calitatea, siguranța, capacitatea sau accesibilitatea serviciilor medicale existente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proiectul nu introduce un serviciu medical nou și nu extinde gama serviciilor existente, dar îmbunătățește modul în care serviciile medicale existente sunt furnizate populației.</w:t>
            </w:r>
          </w:p>
          <w:p>
            <w:pPr>
              <w:spacing w:line="360" w:lineRule="auto"/>
              <w:ind w:left="0" w:right="0" w:firstLine="493"/>
            </w:pPr>
            <w:r>
              <w:rPr>
                <w:rFonts w:ascii="Cambria" w:hAnsi="Cambria"/>
                <w:b w:val="false"/>
                <w:sz w:val="24"/>
              </w:rPr>
              <w:t>Pot fi avute în vedere, după caz: îmbunătățirea calității actului medical, creșterea siguranței sau igienei, accesibilizarea spațiului/serviciului, reducerea timpului de așteptare, creșterea capacității de preluare, îmbunătățirea confortului pacienților sau a condițiilor de lucru necesare furnizării serviciilor medicale.</w:t>
            </w:r>
          </w:p>
          <w:p>
            <w:pPr>
              <w:spacing w:line="360" w:lineRule="auto"/>
              <w:ind w:left="0" w:right="0" w:firstLine="493"/>
            </w:pPr>
            <w:r>
              <w:rPr>
                <w:rFonts w:ascii="Cambria" w:hAnsi="Cambria"/>
                <w:b w:val="false"/>
                <w:sz w:val="24"/>
              </w:rPr>
              <w:t>Se acordă 10 puncte dacă solicitantul demonstrează că investiția are un efect concret asupra calității, siguranței, capacității sau accesibilității serviciilor medicale existente.</w:t>
            </w:r>
          </w:p>
          <w:p>
            <w:pPr>
              <w:spacing w:line="360" w:lineRule="auto"/>
              <w:ind w:left="0" w:right="0" w:firstLine="493"/>
            </w:pPr>
            <w:r>
              <w:rPr>
                <w:rFonts w:ascii="Cambria" w:hAnsi="Cambria"/>
                <w:b w:val="false"/>
                <w:sz w:val="24"/>
              </w:rPr>
              <w:t>Nu se acordă punctaj dacă îmbunătățirea este generică, nedemonstrată sau fără legătură directă cu serviciile medicale furnizate populației.</w:t>
            </w:r>
          </w:p>
          <w:p>
            <w:pPr>
              <w:spacing w:line="360" w:lineRule="auto"/>
              <w:ind w:left="0" w:right="0" w:firstLine="493"/>
            </w:pPr>
            <w:r>
              <w:rPr>
                <w:rFonts w:ascii="Cambria" w:hAnsi="Cambria"/>
                <w:b w:val="false"/>
                <w:sz w:val="24"/>
              </w:rPr>
              <w:t>Documente/verificări relevante</w:t>
            </w:r>
          </w:p>
          <w:p>
            <w:pPr>
              <w:spacing w:line="360" w:lineRule="auto"/>
              <w:ind w:left="0" w:right="0" w:firstLine="493"/>
            </w:pPr>
            <w:r>
              <w:rPr>
                <w:rFonts w:ascii="Cambria" w:hAnsi="Cambria"/>
                <w:b w:val="false"/>
                <w:sz w:val="24"/>
              </w:rPr>
              <w:t>Cererea de finanțare, secțiunea E2.2; Anexa T2 – Servicii medicale rezultate prin proiect; SF/DALI/MJ/descrierea investiției, după caz; lista dotărilor/lucrărilor propuse și justificarea efectului acestora asupra serviciilor existente.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realizate în comunități unde infrastructura propusă lipsește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În aria deservită nu există infrastructură medicală funcțională corespunzătoare investiției propuse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înainte de implementarea proiectului, în aria deservită nu există infrastructură medicală funcțională corespunzătoare investiției propuse.</w:t>
            </w:r>
          </w:p>
          <w:p>
            <w:pPr>
              <w:spacing w:line="360" w:lineRule="auto"/>
              <w:ind w:left="0" w:right="0" w:firstLine="493"/>
            </w:pPr>
            <w:r>
              <w:rPr>
                <w:rFonts w:ascii="Cambria" w:hAnsi="Cambria"/>
                <w:b w:val="false"/>
                <w:sz w:val="24"/>
              </w:rPr>
              <w:t>Prin infrastructură medicală se înțelege spațiul, clădirea, cabinetul, dispensarul, punctul medical, dotarea de bază sau capacitatea materială necesară pentru asigurarea accesului populației la serviciile medicale vizate de proiect.</w:t>
            </w:r>
          </w:p>
          <w:p>
            <w:pPr>
              <w:spacing w:line="360" w:lineRule="auto"/>
              <w:ind w:left="0" w:right="0" w:firstLine="493"/>
            </w:pPr>
            <w:r>
              <w:rPr>
                <w:rFonts w:ascii="Cambria" w:hAnsi="Cambria"/>
                <w:b w:val="false"/>
                <w:sz w:val="24"/>
              </w:rPr>
              <w:t>Se acordă 15 puncte dacă solicitantul demonstrează că populația din aria deservită nu dispune de infrastructură medicală funcțională corespunzătoare investiției propuse.</w:t>
            </w:r>
          </w:p>
          <w:p>
            <w:pPr>
              <w:spacing w:line="360" w:lineRule="auto"/>
              <w:ind w:left="0" w:right="0" w:firstLine="493"/>
            </w:pPr>
            <w:r>
              <w:rPr>
                <w:rFonts w:ascii="Cambria" w:hAnsi="Cambria"/>
                <w:b w:val="false"/>
                <w:sz w:val="24"/>
              </w:rPr>
              <w:t>Nu se acordă punctajul aferent acestui subcriteriu pentru simplul fapt că proiectul va introduce un serviciu nou; acest aspect se punctează la CS 2. La CS 3.1 se verifică exclusiv lipsa infrastructurii medicale funcționale înainte de proiect.</w:t>
            </w:r>
          </w:p>
          <w:p>
            <w:pPr>
              <w:spacing w:line="360" w:lineRule="auto"/>
              <w:ind w:left="0" w:right="0" w:firstLine="493"/>
            </w:pPr>
            <w:r>
              <w:rPr>
                <w:rFonts w:ascii="Cambria" w:hAnsi="Cambria"/>
                <w:b w:val="false"/>
                <w:sz w:val="24"/>
              </w:rPr>
              <w:t>Documente/verificări relevante</w:t>
            </w:r>
          </w:p>
          <w:p>
            <w:pPr>
              <w:spacing w:line="360" w:lineRule="auto"/>
              <w:ind w:left="0" w:right="0" w:firstLine="493"/>
            </w:pPr>
            <w:r>
              <w:rPr>
                <w:rFonts w:ascii="Cambria" w:hAnsi="Cambria"/>
                <w:b w:val="false"/>
                <w:sz w:val="24"/>
              </w:rPr>
              <w:t>Cererea de finanțare, secțiunea E2.2; Anexa T3 – Situația infrastructurii medicale existente în aria deservită; SF/DALI/MJ/descrierea investiției, după caz; documente/fotografii/note de fundamentare/HCL/hotărâri/documente administrative care susțin lipsa infrastructurii funcționale, după caz.</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Există infrastructură medicală, dar aceasta este nefuncțională, neconformă, insuficientă sau învechită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în aria deservită există infrastructură medicală, însă aceasta nu poate răspunde corespunzător nevoii locale din cauza stării fizice, nefuncționalității, neconformității, dotării insuficiente, capacității reduse sau lipsei unor utilități/amenajări necesare.</w:t>
            </w:r>
          </w:p>
          <w:p>
            <w:pPr>
              <w:spacing w:line="360" w:lineRule="auto"/>
              <w:ind w:left="0" w:right="0" w:firstLine="493"/>
            </w:pPr>
            <w:r>
              <w:rPr>
                <w:rFonts w:ascii="Cambria" w:hAnsi="Cambria"/>
                <w:b w:val="false"/>
                <w:sz w:val="24"/>
              </w:rPr>
              <w:t>Diferența față de CS 3.1 este că infrastructura există, dar este deficitară și necesită intervenții pentru a putea susține în mod corespunzător accesul populației la serviciile medicale.</w:t>
            </w:r>
          </w:p>
          <w:p>
            <w:pPr>
              <w:spacing w:line="360" w:lineRule="auto"/>
              <w:ind w:left="0" w:right="0" w:firstLine="493"/>
            </w:pPr>
            <w:r>
              <w:rPr>
                <w:rFonts w:ascii="Cambria" w:hAnsi="Cambria"/>
                <w:b w:val="false"/>
                <w:sz w:val="24"/>
              </w:rPr>
              <w:t>Se acordă 10 puncte dacă solicitantul demonstrează deficitul infrastructurii existente și legătura dintre deficitul identificat și investiția propusă.</w:t>
            </w:r>
          </w:p>
          <w:p>
            <w:pPr>
              <w:spacing w:line="360" w:lineRule="auto"/>
              <w:ind w:left="0" w:right="0" w:firstLine="493"/>
            </w:pPr>
            <w:r>
              <w:rPr>
                <w:rFonts w:ascii="Cambria" w:hAnsi="Cambria"/>
                <w:b w:val="false"/>
                <w:sz w:val="24"/>
              </w:rPr>
              <w:t>Nu se acordă punctajul aferent acestui subcriteriu dacă infrastructura existentă este funcțională și adecvată pentru scopul propus sau dacă deficiențele invocate nu sunt corelate cu investiția.</w:t>
            </w:r>
          </w:p>
          <w:p>
            <w:pPr>
              <w:spacing w:line="360" w:lineRule="auto"/>
              <w:ind w:left="0" w:right="0" w:firstLine="493"/>
            </w:pPr>
            <w:r>
              <w:rPr>
                <w:rFonts w:ascii="Cambria" w:hAnsi="Cambria"/>
                <w:b w:val="false"/>
                <w:sz w:val="24"/>
              </w:rPr>
              <w:t>Documente/verificări relevante</w:t>
            </w:r>
          </w:p>
          <w:p>
            <w:pPr>
              <w:spacing w:line="360" w:lineRule="auto"/>
              <w:ind w:left="0" w:right="0" w:firstLine="493"/>
            </w:pPr>
            <w:r>
              <w:rPr>
                <w:rFonts w:ascii="Cambria" w:hAnsi="Cambria"/>
                <w:b w:val="false"/>
                <w:sz w:val="24"/>
              </w:rPr>
              <w:t>Cererea de finanțare, secțiunea E2.2; Anexa T3 – Situația infrastructurii medicale existente în aria deservită; SF/DALI/MJ/descrierea investiției, după caz; fotografii, inventar dotări, proces-verbal de constatare, notă de fundamentare, HCL/hotărâre ADI/document de asumare, după caz.</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prioritizării investițiilor în localități slab dezvoltate economic  </w:t>
            </w:r>
          </w:p>
        </w:tc>
        <w:tc>
          <w:tcPr>
            <w:shd w:val="clear" w:color="auto" w:fill="CCE1DB"/>
            <w:vAlign w:val="center"/>
          </w:tcPr>
          <w:p>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Investiția se implementează într-o localitate slab dezvoltată economic, conform anexei teritoriale la Ghid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UAT-ul/localitatea de implementare a proiectului, respectiv localitatea în care se realizează investiția, astfel cum este menționată în Cererea de finanțare și în documentele aferente amplasamentului.</w:t>
            </w:r>
          </w:p>
          <w:p>
            <w:pPr>
              <w:spacing w:line="360" w:lineRule="auto"/>
              <w:ind w:left="0" w:right="0" w:firstLine="493"/>
            </w:pPr>
            <w:r>
              <w:rPr>
                <w:rFonts w:ascii="Cambria" w:hAnsi="Cambria"/>
                <w:b w:val="false"/>
                <w:sz w:val="24"/>
              </w:rPr>
              <w:t>Punctajul se acordă conform Anexei la Ghid – „Punctaj dezvoltare economică localități” / „Raport dezvoltare economică a localităților GAL MH”, aferent UAT-ului/localității de implementare.</w:t>
            </w:r>
          </w:p>
          <w:p>
            <w:pPr>
              <w:spacing w:line="360" w:lineRule="auto"/>
              <w:ind w:left="0" w:right="0" w:firstLine="493"/>
            </w:pPr>
            <w:r>
              <w:rPr>
                <w:rFonts w:ascii="Cambria" w:hAnsi="Cambria"/>
                <w:b w:val="false"/>
                <w:sz w:val="24"/>
              </w:rPr>
              <w:t>Pentru proiectele depuse de ADI-uri sau parteneriate, punctajul se stabilește prin raportare la UAT-ul/localitatea în care se realizează investiția.</w:t>
            </w:r>
          </w:p>
          <w:p>
            <w:pPr>
              <w:spacing w:line="360" w:lineRule="auto"/>
              <w:ind w:left="0" w:right="0" w:firstLine="493"/>
            </w:pPr>
            <w:r>
              <w:rPr>
                <w:rFonts w:ascii="Cambria" w:hAnsi="Cambria"/>
                <w:b w:val="false"/>
                <w:sz w:val="24"/>
              </w:rPr>
              <w:t>Dacă proiectul include investiții în mai multe UAT-uri/localități, se aplică metodologia prevăzută în Anexa la Ghid, iar în lipsa unei metodologii distincte se va utiliza punctajul aferent localității cu punctajul cel mai mic dintre localitățile în care se implementează investiția, pentru evitarea supraevaluării.</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inclusiv secțiunea E2.2 și menționarea UAT-ului/localității de implementare;</w:t>
            </w:r>
          </w:p>
          <w:p>
            <w:pPr>
              <w:pStyle w:val="ListParagraph"/>
              <w:numPr>
                <w:ilvl w:val="0"/>
                <w:numId w:val="2"/>
              </w:numPr>
            </w:pPr>
            <w:r>
              <w:rPr>
                <w:rFonts w:ascii="Cambria" w:hAnsi="Cambria"/>
                <w:b w:val="false"/>
                <w:sz w:val="24"/>
              </w:rPr>
              <w:t>documente privind amplasamentul investiției: extras CF, inventar domeniu public, HCL, plan de amplasament, documente de proprietate/administrare/folosință, după caz;</w:t>
            </w:r>
          </w:p>
          <w:p>
            <w:pPr>
              <w:pStyle w:val="ListParagraph"/>
              <w:numPr>
                <w:ilvl w:val="0"/>
                <w:numId w:val="2"/>
              </w:numPr>
            </w:pPr>
            <w:r>
              <w:rPr>
                <w:rFonts w:ascii="Cambria" w:hAnsi="Cambria"/>
                <w:b w:val="false"/>
                <w:sz w:val="24"/>
              </w:rPr>
              <w:t>Anexa la Ghid – „Punctaj dezvoltare economică localități” / „Raport dezvoltare economică a localităților GAL MH”.</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prioritizării investițiilor în localități izolate </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5.1</w:t>
            </w:r>
          </w:p>
        </w:tc>
        <w:tc>
          <w:tcPr>
            <w:shd w:val="clear" w:color="auto" w:fill="F8ECD2"/>
            <w:vAlign w:val="center"/>
          </w:tcPr>
          <w:p>
            <w:r>
              <w:rPr>
                <w:rFonts w:ascii="Cambria" w:hAnsi="Cambria"/>
                <w:b w:val="false"/>
                <w:color w:val="58400C"/>
                <w:sz w:val="24"/>
              </w:rPr>
              <w:t>Investiția se implementează într-o localitate izolată, conform anexei teritoriale la Ghid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UAT-ul/localitatea de implementare a investiției, astfel cum este menționată în Cererea de finanțare și în documentele aferente amplasamentului.</w:t>
            </w:r>
          </w:p>
          <w:p>
            <w:pPr>
              <w:spacing w:line="360" w:lineRule="auto"/>
              <w:ind w:left="0" w:right="0" w:firstLine="493"/>
            </w:pPr>
            <w:r>
              <w:rPr>
                <w:rFonts w:ascii="Cambria" w:hAnsi="Cambria"/>
                <w:b w:val="false"/>
                <w:sz w:val="24"/>
              </w:rPr>
              <w:t>Punctajul se acordă conform Anexei la Ghid – „Punctaj grad izolare” / „Raport grad izolare a localităților GAL MH”, aferent UAT-ului/localității de implementare.</w:t>
            </w:r>
          </w:p>
          <w:p>
            <w:pPr>
              <w:spacing w:line="360" w:lineRule="auto"/>
              <w:ind w:left="0" w:right="0" w:firstLine="493"/>
            </w:pPr>
            <w:r>
              <w:rPr>
                <w:rFonts w:ascii="Cambria" w:hAnsi="Cambria"/>
                <w:b w:val="false"/>
                <w:sz w:val="24"/>
              </w:rPr>
              <w:t>Pentru proiectele depuse de ADI-uri sau parteneriate, punctajul se stabilește prin raportare la UAT-ul/localitatea în care se realizează investiția.</w:t>
            </w:r>
          </w:p>
          <w:p>
            <w:pPr>
              <w:spacing w:line="360" w:lineRule="auto"/>
              <w:ind w:left="0" w:right="0" w:firstLine="493"/>
            </w:pPr>
            <w:r>
              <w:rPr>
                <w:rFonts w:ascii="Cambria" w:hAnsi="Cambria"/>
                <w:b w:val="false"/>
                <w:sz w:val="24"/>
              </w:rPr>
              <w:t>Dacă proiectul include investiții în mai multe UAT-uri/localități, se aplică metodologia prevăzută în Anexa la Ghid, iar în lipsa unei metodologii distincte se va utiliza punctajul aferent localității cu punctajul cel mai mic dintre localitățile în care se implementează investiția, pentru evitarea supraevaluării.</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inclusiv secțiunea E2.2 și menționarea UAT-ului/localității de implementare;</w:t>
            </w:r>
          </w:p>
          <w:p>
            <w:pPr>
              <w:pStyle w:val="ListParagraph"/>
              <w:numPr>
                <w:ilvl w:val="0"/>
                <w:numId w:val="2"/>
              </w:numPr>
            </w:pPr>
            <w:r>
              <w:rPr>
                <w:rFonts w:ascii="Cambria" w:hAnsi="Cambria"/>
                <w:b w:val="false"/>
                <w:sz w:val="24"/>
              </w:rPr>
              <w:t>documente privind amplasamentul investiției: extras CF, inventar domeniu public, HCL, plan de amplasament, documente de proprietate/administrare/folosință, după caz;</w:t>
            </w:r>
          </w:p>
          <w:p>
            <w:pPr>
              <w:pStyle w:val="ListParagraph"/>
              <w:numPr>
                <w:ilvl w:val="0"/>
                <w:numId w:val="2"/>
              </w:numPr>
            </w:pPr>
            <w:r>
              <w:rPr>
                <w:rFonts w:ascii="Cambria" w:hAnsi="Cambria"/>
                <w:b w:val="false"/>
                <w:sz w:val="24"/>
              </w:rPr>
              <w:t>Anexa la Ghid – „Punctaj grad izolare” / „Raport grad izolare a localităților GAL MH"</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Principiul prioritizării proiectelor depuse de ADI-uri/parteneriate formate din minimum 3 UAT-uri care sunt izolate și/sau slab dezvoltate economic </w:t>
            </w:r>
          </w:p>
        </w:tc>
        <w:tc>
          <w:tcPr>
            <w:shd w:val="clear" w:color="auto" w:fill="CCE1DB"/>
            <w:vAlign w:val="center"/>
          </w:tcPr>
          <w:p>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6.1</w:t>
            </w:r>
          </w:p>
        </w:tc>
        <w:tc>
          <w:tcPr>
            <w:shd w:val="clear" w:color="auto" w:fill="F8ECD2"/>
            <w:vAlign w:val="center"/>
          </w:tcPr>
          <w:p>
            <w:r>
              <w:rPr>
                <w:rFonts w:ascii="Cambria" w:hAnsi="Cambria"/>
                <w:b w:val="false"/>
                <w:color w:val="58400C"/>
                <w:sz w:val="24"/>
              </w:rPr>
              <w:t>Proiect depus de ADI/parteneriat care include minimum 3 UAT-uri izolate și/sau slab dezvoltate economic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Metodologia de verificare</w:t>
            </w:r>
          </w:p>
          <w:p>
            <w:pPr>
              <w:spacing w:line="360" w:lineRule="auto"/>
              <w:ind w:left="0" w:right="0" w:firstLine="493"/>
            </w:pPr>
            <w:r>
              <w:rPr>
                <w:rFonts w:ascii="Cambria" w:hAnsi="Cambria"/>
                <w:b w:val="false"/>
                <w:sz w:val="24"/>
              </w:rPr>
              <w:t>Se verifică dacă proiectul este depus de o Asociație de Dezvoltare Intercomunitară sau de un parteneriat informal format din minimum 3 UAT-uri implicate/deservite prin proiect și dacă cel puțin unul dintre aceste UAT-uri este încadrat ca izolat și/sau slab dezvoltat economic, conform anexelor teritoriale la ghid.</w:t>
            </w:r>
          </w:p>
          <w:p>
            <w:pPr>
              <w:spacing w:line="360" w:lineRule="auto"/>
              <w:ind w:left="0" w:right="0" w:firstLine="493"/>
            </w:pPr>
            <w:r>
              <w:rPr>
                <w:rFonts w:ascii="Cambria" w:hAnsi="Cambria"/>
                <w:b w:val="false"/>
                <w:sz w:val="24"/>
              </w:rPr>
              <w:t>În sensul prezentului criteriu, un UAT este considerat izolat și/sau slab dezvoltat economic dacă îndeplinește cel puțin una dintre următoarele condiții:</w:t>
            </w:r>
          </w:p>
          <w:p>
            <w:pPr>
              <w:pStyle w:val="ListParagraph"/>
              <w:numPr>
                <w:ilvl w:val="0"/>
                <w:numId w:val="2"/>
              </w:numPr>
            </w:pPr>
            <w:r>
              <w:rPr>
                <w:rFonts w:ascii="Cambria" w:hAnsi="Cambria"/>
                <w:b w:val="false"/>
                <w:sz w:val="24"/>
              </w:rPr>
              <w:t>are punctaj de dezvoltare economică de minimum 10 puncte, conform Anexei privind dezvoltarea economică a localităților GAL MH;</w:t>
            </w:r>
          </w:p>
          <w:p>
            <w:pPr>
              <w:pStyle w:val="ListParagraph"/>
              <w:numPr>
                <w:ilvl w:val="0"/>
                <w:numId w:val="2"/>
              </w:numPr>
            </w:pPr>
            <w:r>
              <w:rPr>
                <w:rFonts w:ascii="Cambria" w:hAnsi="Cambria"/>
                <w:b w:val="false"/>
                <w:sz w:val="24"/>
              </w:rPr>
              <w:t>și/sau are punctaj de izolare de minimum 5 puncte, conform Anexei privind gradul de izolare al localităților GAL MH.</w:t>
            </w:r>
          </w:p>
          <w:p>
            <w:pPr>
              <w:spacing w:line="360" w:lineRule="auto"/>
              <w:ind w:left="0" w:right="0" w:firstLine="493"/>
            </w:pPr>
            <w:r>
              <w:rPr>
                <w:rFonts w:ascii="Cambria" w:hAnsi="Cambria"/>
                <w:b w:val="false"/>
                <w:sz w:val="24"/>
              </w:rPr>
              <w:t>Se acordă 15 puncte dacă sunt îndeplinite cumulativ următoarele condiții:</w:t>
            </w:r>
          </w:p>
          <w:p>
            <w:pPr>
              <w:pStyle w:val="ListParagraph"/>
              <w:numPr>
                <w:ilvl w:val="0"/>
                <w:numId w:val="3"/>
              </w:numPr>
            </w:pPr>
            <w:r>
              <w:rPr>
                <w:rFonts w:ascii="Cambria" w:hAnsi="Cambria"/>
                <w:b w:val="false"/>
                <w:sz w:val="24"/>
              </w:rPr>
              <w:t>solicitantul este ADI sau parteneriat informal;</w:t>
            </w:r>
          </w:p>
          <w:p>
            <w:pPr>
              <w:pStyle w:val="ListParagraph"/>
              <w:numPr>
                <w:ilvl w:val="0"/>
                <w:numId w:val="3"/>
              </w:numPr>
            </w:pPr>
            <w:r>
              <w:rPr>
                <w:rFonts w:ascii="Cambria" w:hAnsi="Cambria"/>
                <w:b w:val="false"/>
                <w:sz w:val="24"/>
              </w:rPr>
              <w:t>proiectul include minimum 3 UAT-uri implicate/deservite;</w:t>
            </w:r>
          </w:p>
          <w:p>
            <w:pPr>
              <w:pStyle w:val="ListParagraph"/>
              <w:numPr>
                <w:ilvl w:val="0"/>
                <w:numId w:val="3"/>
              </w:numPr>
            </w:pPr>
            <w:r>
              <w:rPr>
                <w:rFonts w:ascii="Cambria" w:hAnsi="Cambria"/>
                <w:b w:val="false"/>
                <w:sz w:val="24"/>
              </w:rPr>
              <w:t>cel puțin unul dintre UAT-urile implicate/deservite este încadrat ca izolat și/sau slab dezvoltat economic conform anexelor teritoriale la ghid;</w:t>
            </w:r>
          </w:p>
          <w:p>
            <w:pPr>
              <w:pStyle w:val="ListParagraph"/>
              <w:numPr>
                <w:ilvl w:val="0"/>
                <w:numId w:val="3"/>
              </w:numPr>
            </w:pPr>
            <w:r>
              <w:rPr>
                <w:rFonts w:ascii="Cambria" w:hAnsi="Cambria"/>
                <w:b w:val="false"/>
                <w:sz w:val="24"/>
              </w:rPr>
              <w:t>investiția deservește UAT-urile indicate, iar impactul zonal este demonstrat.</w:t>
            </w:r>
          </w:p>
          <w:p>
            <w:pPr>
              <w:spacing w:line="360" w:lineRule="auto"/>
              <w:ind w:left="0" w:right="0" w:firstLine="493"/>
            </w:pPr>
            <w:r>
              <w:rPr>
                <w:rFonts w:ascii="Cambria" w:hAnsi="Cambria"/>
                <w:b w:val="false"/>
                <w:sz w:val="24"/>
              </w:rPr>
              <w:t>Nu se acordă punctaj la CS 6 dacă proiectul este depus de UAT individual, dacă proiectul include mai puțin de 3 UAT-uri implicate/deservite, dacă niciunul dintre UAT-urile implicate/deservite nu este încadrat ca izolat și/sau slab dezvoltat economic sau dacă impactul zonal nu este justificat.</w:t>
            </w:r>
          </w:p>
          <w:p>
            <w:pPr>
              <w:spacing w:line="360" w:lineRule="auto"/>
              <w:ind w:left="0" w:right="0" w:firstLine="493"/>
            </w:pPr>
            <w:r>
              <w:rPr>
                <w:rFonts w:ascii="Cambria" w:hAnsi="Cambria"/>
                <w:b w:val="false"/>
                <w:sz w:val="24"/>
              </w:rPr>
              <w:t>Documente/verificări relevante</w:t>
            </w:r>
          </w:p>
          <w:p>
            <w:pPr>
              <w:spacing w:line="360" w:lineRule="auto"/>
              <w:ind w:left="0" w:right="0" w:firstLine="493"/>
            </w:pPr>
            <w:r>
              <w:rPr>
                <w:rFonts w:ascii="Cambria" w:hAnsi="Cambria"/>
                <w:b w:val="false"/>
                <w:sz w:val="24"/>
              </w:rPr>
              <w:t>Cererea de finanțare, secțiunea E2.2; Anexa T4 – Acoperire zonală/parteneriat; act constitutiv/statut/dovada înscrierii pentru ADI sau acord/document de constituire a parteneriatului informal; hotărâri/documente de asumare ale UAT-urilor implicate, după caz; anexele teritoriale privind dezvoltarea economică și gradul de izolare; SF/DALI/MJ/descrierea investiției, după caz.</w:t>
            </w:r>
          </w:p>
          <w:p>
            <w:pPr>
              <w:spacing w:line="360" w:lineRule="auto"/>
              <w:ind w:left="0" w:right="0" w:firstLine="493"/>
            </w:pPr>
            <w:r>
              <w:rPr>
                <w:rFonts w:ascii="Cambria Bold" w:hAnsi="Cambria Bold"/>
                <w:b/>
                <w:sz w:val="24"/>
              </w:rPr>
              <w:t>PRAGUL MINIM de selecție al proiectelor este de 20 de puncte.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CD1</w:t>
            </w:r>
          </w:p>
        </w:tc>
        <w:tc>
          <w:tcPr>
            <w:shd w:val="clear" w:color="auto" w:fill="F8ECD2"/>
            <w:vAlign w:val="center"/>
          </w:tcPr>
          <w:p>
            <w:r>
              <w:rPr>
                <w:rFonts w:ascii="Cambria" w:hAnsi="Cambria"/>
                <w:b w:val="false"/>
                <w:color w:val="58400C"/>
                <w:sz w:val="24"/>
              </w:rPr>
              <w:t>Numărul persoanelor deservite de infrastructura creată/ modernizată/dotată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compară punctajul obținut de proiecte la Principiul de selectie 1. Are prioritate proiectul care a obținut punctaj mai mare la principiul privind numărul persoanelor deservite, conform Anexei T1 – Calcul persoane deservite.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Proiecte ce propun dezvoltarea și/sau diversificarea serviciilor medicale oferite în prezent</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Dacă egalitatea se menține după aplicarea primului criteriu, se compară punctajul obținut de proiecte la Principiul de selectie 2. Are prioritate proiectul care a obținut punctaj mai mare la principiul privind serviciile medicale rezultate prin proiect, conform Anexei T2 – Servicii medicale rezultate prin proiect.</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cda321c770754067" /><Relationship Type="http://schemas.openxmlformats.org/officeDocument/2006/relationships/numbering" Target="/word/numbering.xml" Id="Racc91194955b4a7b" /></Relationships>
</file>